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D05444" w:rsidRDefault="00085241" w:rsidP="00D05444">
      <w:pPr>
        <w:tabs>
          <w:tab w:val="left" w:pos="1843"/>
        </w:tabs>
        <w:spacing w:after="0" w:line="276" w:lineRule="auto"/>
        <w:jc w:val="both"/>
        <w:rPr>
          <w:rFonts w:ascii="Palatino Linotype" w:hAnsi="Palatino Linotype" w:cs="Tahoma"/>
          <w:sz w:val="24"/>
          <w:szCs w:val="24"/>
        </w:rPr>
      </w:pPr>
    </w:p>
    <w:p w:rsidR="00D05444" w:rsidRPr="00F17C34" w:rsidRDefault="00D05444" w:rsidP="00D05444">
      <w:pPr>
        <w:spacing w:after="0" w:line="276" w:lineRule="auto"/>
        <w:jc w:val="both"/>
        <w:rPr>
          <w:rFonts w:ascii="Palatino Linotype" w:hAnsi="Palatino Linotype" w:cs="Tahoma"/>
          <w:b/>
        </w:rPr>
      </w:pPr>
      <w:r w:rsidRPr="00F17C34">
        <w:rPr>
          <w:rFonts w:ascii="Palatino Linotype" w:hAnsi="Palatino Linotype" w:cs="Tahoma"/>
          <w:b/>
        </w:rPr>
        <w:t xml:space="preserve">VOTO PARTICULAR QUE FORMULA EL COMISIONADO LUIS GUSTAVO PARRA NORIEGA, </w:t>
      </w:r>
      <w:r w:rsidR="00F17C34">
        <w:rPr>
          <w:rFonts w:ascii="Palatino Linotype" w:hAnsi="Palatino Linotype" w:cs="Tahoma"/>
          <w:b/>
        </w:rPr>
        <w:t>A</w:t>
      </w:r>
      <w:r w:rsidRPr="00F17C34">
        <w:rPr>
          <w:rFonts w:ascii="Palatino Linotype" w:hAnsi="Palatino Linotype" w:cs="Tahoma"/>
          <w:b/>
        </w:rPr>
        <w:t xml:space="preserve"> LA RESOLUCI</w:t>
      </w:r>
      <w:r w:rsidR="00743EE0" w:rsidRPr="00F17C34">
        <w:rPr>
          <w:rFonts w:ascii="Palatino Linotype" w:hAnsi="Palatino Linotype" w:cs="Tahoma"/>
          <w:b/>
        </w:rPr>
        <w:t>ÓN DEL RECURSO DE REVISIÓN 04359</w:t>
      </w:r>
      <w:r w:rsidRPr="00F17C34">
        <w:rPr>
          <w:rFonts w:ascii="Palatino Linotype" w:hAnsi="Palatino Linotype" w:cs="Tahoma"/>
          <w:b/>
        </w:rPr>
        <w:t>/INFOEM/IP/RR/2018</w:t>
      </w:r>
      <w:r w:rsidR="00F17C34">
        <w:rPr>
          <w:rFonts w:ascii="Palatino Linotype" w:hAnsi="Palatino Linotype" w:cs="Tahoma"/>
          <w:b/>
        </w:rPr>
        <w:t>,</w:t>
      </w:r>
      <w:r w:rsidRPr="00F17C34">
        <w:rPr>
          <w:rFonts w:ascii="Palatino Linotype" w:hAnsi="Palatino Linotype" w:cs="Tahoma"/>
          <w:b/>
        </w:rPr>
        <w:t xml:space="preserve"> PROMOVIDO EN CONTRA </w:t>
      </w:r>
      <w:r w:rsidR="00743EE0" w:rsidRPr="00F17C34">
        <w:rPr>
          <w:rFonts w:ascii="Palatino Linotype" w:hAnsi="Palatino Linotype" w:cs="Tahoma"/>
          <w:b/>
        </w:rPr>
        <w:t>DEL AYUNTAMIENTO DE TECÁMAC</w:t>
      </w:r>
      <w:r w:rsidRPr="00F17C34">
        <w:rPr>
          <w:rFonts w:ascii="Palatino Linotype" w:hAnsi="Palatino Linotype" w:cs="Tahoma"/>
          <w:b/>
        </w:rPr>
        <w:t>.</w:t>
      </w:r>
      <w:bookmarkStart w:id="0" w:name="_GoBack"/>
      <w:bookmarkEnd w:id="0"/>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En términos de lo dispuesto por el artículo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voto particular por no compartir en su totalidad las consideraciones que sustentan la resolución del recurso de revisión que nos ocupa.</w:t>
      </w:r>
    </w:p>
    <w:p w:rsidR="00D05444" w:rsidRPr="00D05444" w:rsidRDefault="00D05444" w:rsidP="00D05444">
      <w:pPr>
        <w:spacing w:after="0" w:line="276" w:lineRule="auto"/>
        <w:jc w:val="both"/>
        <w:rPr>
          <w:rFonts w:ascii="Palatino Linotype" w:hAnsi="Palatino Linotype" w:cs="Tahoma"/>
        </w:rPr>
      </w:pPr>
    </w:p>
    <w:p w:rsidR="00D05444" w:rsidRDefault="00743EE0" w:rsidP="00D05444">
      <w:pPr>
        <w:spacing w:after="0" w:line="276" w:lineRule="auto"/>
        <w:jc w:val="both"/>
        <w:rPr>
          <w:rFonts w:ascii="Palatino Linotype" w:hAnsi="Palatino Linotype" w:cs="Tahoma"/>
        </w:rPr>
      </w:pPr>
      <w:r>
        <w:rPr>
          <w:rFonts w:ascii="Palatino Linotype" w:hAnsi="Palatino Linotype" w:cs="Tahoma"/>
        </w:rPr>
        <w:t xml:space="preserve">Como se desprende de la Resolución </w:t>
      </w:r>
      <w:r w:rsidR="00F17C34">
        <w:rPr>
          <w:rFonts w:ascii="Palatino Linotype" w:hAnsi="Palatino Linotype" w:cs="Tahoma"/>
        </w:rPr>
        <w:t>que nos ocupa</w:t>
      </w:r>
      <w:r>
        <w:rPr>
          <w:rFonts w:ascii="Palatino Linotype" w:hAnsi="Palatino Linotype" w:cs="Tahoma"/>
        </w:rPr>
        <w:t xml:space="preserve">, </w:t>
      </w:r>
      <w:r w:rsidR="00F17C34">
        <w:rPr>
          <w:rFonts w:ascii="Palatino Linotype" w:hAnsi="Palatino Linotype" w:cs="Tahoma"/>
        </w:rPr>
        <w:t>el Comisionado Ponente argumentó</w:t>
      </w:r>
      <w:r w:rsidR="003C4BD1">
        <w:rPr>
          <w:rFonts w:ascii="Palatino Linotype" w:hAnsi="Palatino Linotype" w:cs="Tahoma"/>
        </w:rPr>
        <w:t xml:space="preserve"> que durante la tramitación del Recurso de Revisión apareció una causal de improcedencia, “…</w:t>
      </w:r>
      <w:r w:rsidR="003C4BD1" w:rsidRPr="003C4BD1">
        <w:rPr>
          <w:rFonts w:ascii="Palatino Linotype" w:hAnsi="Palatino Linotype" w:cs="Tahoma"/>
          <w:i/>
        </w:rPr>
        <w:t>de manera particular, a la causal que alude que es improcedente cuando los actos hayan sido impugnados por el mismo recurrente, en otro medio de defensa</w:t>
      </w:r>
      <w:r w:rsidR="003C4BD1">
        <w:rPr>
          <w:rFonts w:ascii="Palatino Linotype" w:hAnsi="Palatino Linotype" w:cs="Tahoma"/>
        </w:rPr>
        <w:t xml:space="preserve">…”, además refiere que: </w:t>
      </w:r>
    </w:p>
    <w:p w:rsidR="00743EE0" w:rsidRDefault="00743EE0" w:rsidP="00D05444">
      <w:pPr>
        <w:spacing w:after="0" w:line="276" w:lineRule="auto"/>
        <w:jc w:val="both"/>
        <w:rPr>
          <w:rFonts w:ascii="Palatino Linotype" w:hAnsi="Palatino Linotype" w:cs="Tahoma"/>
        </w:rPr>
      </w:pPr>
    </w:p>
    <w:p w:rsidR="003C4BD1" w:rsidRPr="00F17C34" w:rsidRDefault="00F17C34" w:rsidP="003C4BD1">
      <w:pPr>
        <w:spacing w:after="0" w:line="276" w:lineRule="auto"/>
        <w:ind w:left="567" w:right="567"/>
        <w:jc w:val="both"/>
        <w:rPr>
          <w:rFonts w:ascii="Palatino Linotype" w:hAnsi="Palatino Linotype" w:cs="Tahoma"/>
          <w:sz w:val="20"/>
          <w:szCs w:val="20"/>
        </w:rPr>
      </w:pPr>
      <w:r>
        <w:rPr>
          <w:rFonts w:ascii="Palatino Linotype" w:hAnsi="Palatino Linotype" w:cs="Tahoma"/>
          <w:sz w:val="20"/>
          <w:szCs w:val="20"/>
        </w:rPr>
        <w:t>“ (</w:t>
      </w:r>
      <w:r w:rsidR="003C4BD1" w:rsidRPr="00F17C34">
        <w:rPr>
          <w:rFonts w:ascii="Palatino Linotype" w:hAnsi="Palatino Linotype" w:cs="Tahoma"/>
          <w:sz w:val="20"/>
          <w:szCs w:val="20"/>
        </w:rPr>
        <w:t>…</w:t>
      </w:r>
      <w:r>
        <w:rPr>
          <w:rFonts w:ascii="Palatino Linotype" w:hAnsi="Palatino Linotype" w:cs="Tahoma"/>
          <w:sz w:val="20"/>
          <w:szCs w:val="20"/>
        </w:rPr>
        <w:t xml:space="preserve">) </w:t>
      </w:r>
      <w:r w:rsidR="003C4BD1" w:rsidRPr="00F17C34">
        <w:rPr>
          <w:rFonts w:ascii="Palatino Linotype" w:hAnsi="Palatino Linotype" w:cs="Tahoma"/>
          <w:b/>
          <w:sz w:val="20"/>
          <w:szCs w:val="20"/>
        </w:rPr>
        <w:t>se actualiza la figura de cosa juzgada</w:t>
      </w:r>
      <w:r w:rsidR="003C4BD1" w:rsidRPr="00F17C34">
        <w:rPr>
          <w:rFonts w:ascii="Palatino Linotype" w:hAnsi="Palatino Linotype" w:cs="Tahoma"/>
          <w:sz w:val="20"/>
          <w:szCs w:val="20"/>
        </w:rPr>
        <w:t xml:space="preserve">, al ser coincidente el recurso de revisión </w:t>
      </w:r>
      <w:r w:rsidR="003C4BD1" w:rsidRPr="00F17C34">
        <w:rPr>
          <w:rFonts w:ascii="Palatino Linotype" w:hAnsi="Palatino Linotype" w:cs="Tahoma"/>
          <w:b/>
          <w:sz w:val="20"/>
          <w:szCs w:val="20"/>
        </w:rPr>
        <w:t xml:space="preserve">04162/INFOEM/IP/RR/2018 </w:t>
      </w:r>
      <w:r w:rsidR="003C4BD1" w:rsidRPr="00F17C34">
        <w:rPr>
          <w:rFonts w:ascii="Palatino Linotype" w:hAnsi="Palatino Linotype" w:cs="Tahoma"/>
          <w:sz w:val="20"/>
          <w:szCs w:val="20"/>
        </w:rPr>
        <w:t xml:space="preserve">con el que nos ocupa, por corresponder al mismo acto, disposición o actuación material, pretensión u otra sustancialmente idéntica, y considerando que la </w:t>
      </w:r>
      <w:r w:rsidR="003C4BD1" w:rsidRPr="00F17C34">
        <w:rPr>
          <w:rFonts w:ascii="Palatino Linotype" w:hAnsi="Palatino Linotype" w:cs="Tahoma"/>
          <w:i/>
          <w:sz w:val="20"/>
          <w:szCs w:val="20"/>
        </w:rPr>
        <w:t>causa petendi o el petitum</w:t>
      </w:r>
      <w:r w:rsidR="003C4BD1" w:rsidRPr="00F17C34">
        <w:rPr>
          <w:rFonts w:ascii="Palatino Linotype" w:hAnsi="Palatino Linotype" w:cs="Tahoma"/>
          <w:sz w:val="20"/>
          <w:szCs w:val="20"/>
        </w:rPr>
        <w:t xml:space="preserve"> del acto impugnado en el presente recurso de revisión opera en función de la información enviada, </w:t>
      </w:r>
      <w:r w:rsidR="003C4BD1" w:rsidRPr="00F17C34">
        <w:rPr>
          <w:rFonts w:ascii="Palatino Linotype" w:hAnsi="Palatino Linotype" w:cs="Tahoma"/>
          <w:b/>
          <w:sz w:val="20"/>
          <w:szCs w:val="20"/>
        </w:rPr>
        <w:t>que en el precedente fue entregada vía informe justificado</w:t>
      </w:r>
      <w:r w:rsidR="003C4BD1" w:rsidRPr="00F17C34">
        <w:rPr>
          <w:rFonts w:ascii="Palatino Linotype" w:hAnsi="Palatino Linotype" w:cs="Tahoma"/>
          <w:sz w:val="20"/>
          <w:szCs w:val="20"/>
        </w:rPr>
        <w:t xml:space="preserve">, es que, con la única finalidad de que no exista invariabilidad de lo fallado en la resolución ejecutoriada, a fin de que no se pronuncien resoluciones contradictorias que alteren la estabilidad y seguridad del goce del particular </w:t>
      </w:r>
      <w:r w:rsidR="003C4BD1" w:rsidRPr="00F17C34">
        <w:rPr>
          <w:rFonts w:ascii="Palatino Linotype" w:hAnsi="Palatino Linotype" w:cs="Tahoma"/>
          <w:b/>
          <w:i/>
          <w:sz w:val="20"/>
          <w:szCs w:val="20"/>
        </w:rPr>
        <w:t>Recurrente</w:t>
      </w:r>
      <w:r w:rsidR="003C4BD1" w:rsidRPr="00F17C34">
        <w:rPr>
          <w:rFonts w:ascii="Palatino Linotype" w:hAnsi="Palatino Linotype" w:cs="Tahoma"/>
          <w:sz w:val="20"/>
          <w:szCs w:val="20"/>
        </w:rPr>
        <w:t>, lo cual constituye un derecho humano consistente en la seguridad jurídica que se encuentra contenido en los artículos 16 de la Constitución Política de los Estados Unidos Mexicanos y  25  numerales 1 y 2 de la Convención América de Derechos Humanos, se determina sobreseer el presente medio de impugnación en estricta observancia al contenido de los artículo 192 fracción IV de la Ley de Transparencia y Acceso a la Información Pública del Estado de México y Municipios.</w:t>
      </w:r>
      <w:r>
        <w:rPr>
          <w:rFonts w:ascii="Palatino Linotype" w:hAnsi="Palatino Linotype" w:cs="Tahoma"/>
          <w:sz w:val="20"/>
          <w:szCs w:val="20"/>
        </w:rPr>
        <w:t>”</w:t>
      </w:r>
    </w:p>
    <w:p w:rsidR="00743EE0" w:rsidRDefault="00743EE0" w:rsidP="00D05444">
      <w:pPr>
        <w:spacing w:after="0" w:line="276" w:lineRule="auto"/>
        <w:jc w:val="both"/>
        <w:rPr>
          <w:rFonts w:ascii="Palatino Linotype" w:hAnsi="Palatino Linotype" w:cs="Tahoma"/>
        </w:rPr>
      </w:pPr>
    </w:p>
    <w:p w:rsidR="00743EE0" w:rsidRDefault="00F17C34" w:rsidP="00D05444">
      <w:pPr>
        <w:spacing w:after="0" w:line="276" w:lineRule="auto"/>
        <w:jc w:val="both"/>
        <w:rPr>
          <w:rFonts w:ascii="Palatino Linotype" w:hAnsi="Palatino Linotype" w:cs="Tahoma"/>
        </w:rPr>
      </w:pPr>
      <w:r>
        <w:rPr>
          <w:rFonts w:ascii="Palatino Linotype" w:hAnsi="Palatino Linotype" w:cs="Tahoma"/>
        </w:rPr>
        <w:lastRenderedPageBreak/>
        <w:t>Al respecto</w:t>
      </w:r>
      <w:r w:rsidR="003C4BD1">
        <w:rPr>
          <w:rFonts w:ascii="Palatino Linotype" w:hAnsi="Palatino Linotype" w:cs="Tahoma"/>
        </w:rPr>
        <w:t xml:space="preserve">, considero que la Resolución no identifica de forma </w:t>
      </w:r>
      <w:r w:rsidR="00FC16A3">
        <w:rPr>
          <w:rFonts w:ascii="Palatino Linotype" w:hAnsi="Palatino Linotype" w:cs="Tahoma"/>
        </w:rPr>
        <w:t>precisa la causal de improcedencia del catálogo establecido en el artículo 191 de la Ley de Transparencia y Acceso a la Información Pública del Estado de M</w:t>
      </w:r>
      <w:r w:rsidR="003A33E2">
        <w:rPr>
          <w:rFonts w:ascii="Palatino Linotype" w:hAnsi="Palatino Linotype" w:cs="Tahoma"/>
        </w:rPr>
        <w:t xml:space="preserve">éxico, ya que no existe una que refiera que el Recurso de Revisión deberá ser desechado </w:t>
      </w:r>
      <w:r w:rsidR="003A33E2" w:rsidRPr="003A33E2">
        <w:rPr>
          <w:rFonts w:ascii="Palatino Linotype" w:hAnsi="Palatino Linotype" w:cs="Tahoma"/>
        </w:rPr>
        <w:t>cuando los actos haya</w:t>
      </w:r>
      <w:r>
        <w:rPr>
          <w:rFonts w:ascii="Palatino Linotype" w:hAnsi="Palatino Linotype" w:cs="Tahoma"/>
        </w:rPr>
        <w:t>n sido impugnados por el mismo R</w:t>
      </w:r>
      <w:r w:rsidR="003A33E2" w:rsidRPr="003A33E2">
        <w:rPr>
          <w:rFonts w:ascii="Palatino Linotype" w:hAnsi="Palatino Linotype" w:cs="Tahoma"/>
        </w:rPr>
        <w:t>ecurrente, en otro medio de defensa</w:t>
      </w:r>
      <w:r w:rsidR="003A33E2">
        <w:rPr>
          <w:rFonts w:ascii="Palatino Linotype" w:hAnsi="Palatino Linotype" w:cs="Tahoma"/>
        </w:rPr>
        <w:t>.</w:t>
      </w:r>
    </w:p>
    <w:p w:rsidR="003A33E2" w:rsidRDefault="003A33E2" w:rsidP="00D05444">
      <w:pPr>
        <w:spacing w:after="0" w:line="276" w:lineRule="auto"/>
        <w:jc w:val="both"/>
        <w:rPr>
          <w:rFonts w:ascii="Palatino Linotype" w:hAnsi="Palatino Linotype" w:cs="Tahoma"/>
        </w:rPr>
      </w:pPr>
    </w:p>
    <w:p w:rsidR="003A33E2" w:rsidRDefault="00F17C34" w:rsidP="00D05444">
      <w:pPr>
        <w:spacing w:after="0" w:line="276" w:lineRule="auto"/>
        <w:jc w:val="both"/>
        <w:rPr>
          <w:rFonts w:ascii="Palatino Linotype" w:hAnsi="Palatino Linotype" w:cs="Tahoma"/>
        </w:rPr>
      </w:pPr>
      <w:r>
        <w:rPr>
          <w:rFonts w:ascii="Palatino Linotype" w:hAnsi="Palatino Linotype" w:cs="Tahoma"/>
        </w:rPr>
        <w:t>Tampoco encuadra el supuesto que nos ocupa con</w:t>
      </w:r>
      <w:r w:rsidR="004E7E73">
        <w:rPr>
          <w:rFonts w:ascii="Palatino Linotype" w:hAnsi="Palatino Linotype" w:cs="Tahoma"/>
        </w:rPr>
        <w:t xml:space="preserve"> la causal de improcedencia establecida </w:t>
      </w:r>
      <w:r>
        <w:rPr>
          <w:rFonts w:ascii="Palatino Linotype" w:hAnsi="Palatino Linotype" w:cs="Tahoma"/>
        </w:rPr>
        <w:t>en</w:t>
      </w:r>
      <w:r w:rsidR="004E7E73">
        <w:rPr>
          <w:rFonts w:ascii="Palatino Linotype" w:hAnsi="Palatino Linotype" w:cs="Tahoma"/>
        </w:rPr>
        <w:t xml:space="preserve"> el artículo 191, fracción II, </w:t>
      </w:r>
      <w:r>
        <w:rPr>
          <w:rFonts w:ascii="Palatino Linotype" w:hAnsi="Palatino Linotype" w:cs="Tahoma"/>
        </w:rPr>
        <w:t xml:space="preserve">de la Ley de Transparencia y Acceso a la Información Pública del Estado de México y Municipios, </w:t>
      </w:r>
      <w:r w:rsidR="004E7E73">
        <w:rPr>
          <w:rFonts w:ascii="Palatino Linotype" w:hAnsi="Palatino Linotype" w:cs="Tahoma"/>
        </w:rPr>
        <w:t>la cual refiere que el Recurso de Revisión será desechado cuando se esté tramitando ante el Poder Judicial de la Federación algún recurso o medio de defensa interpue</w:t>
      </w:r>
      <w:r>
        <w:rPr>
          <w:rFonts w:ascii="Palatino Linotype" w:hAnsi="Palatino Linotype" w:cs="Tahoma"/>
        </w:rPr>
        <w:t>sto por el R</w:t>
      </w:r>
      <w:r w:rsidR="004E7E73">
        <w:rPr>
          <w:rFonts w:ascii="Palatino Linotype" w:hAnsi="Palatino Linotype" w:cs="Tahoma"/>
        </w:rPr>
        <w:t>ecurrente</w:t>
      </w:r>
      <w:r>
        <w:rPr>
          <w:rFonts w:ascii="Palatino Linotype" w:hAnsi="Palatino Linotype" w:cs="Tahoma"/>
        </w:rPr>
        <w:t>, pues la presentación de medios de defensa ante este Órgano Garante, no actualiza el supuesto de improcedencia referido; por lo anterior,</w:t>
      </w:r>
      <w:r w:rsidR="004E7E73">
        <w:rPr>
          <w:rFonts w:ascii="Palatino Linotype" w:hAnsi="Palatino Linotype" w:cs="Tahoma"/>
        </w:rPr>
        <w:t xml:space="preserve"> bajo el supuesto que la Resolución haya pretendido hacer valer dicha causal de improcedencia, no se tienen los elementos para su actualización</w:t>
      </w:r>
      <w:r>
        <w:rPr>
          <w:rFonts w:ascii="Palatino Linotype" w:hAnsi="Palatino Linotype" w:cs="Tahoma"/>
        </w:rPr>
        <w:t xml:space="preserve"> y por ende, no es viable motivar la improcedencia bajo la figura de la cosa juzgada.</w:t>
      </w:r>
    </w:p>
    <w:p w:rsidR="004E7E73" w:rsidRDefault="004E7E73" w:rsidP="00D05444">
      <w:pPr>
        <w:spacing w:after="0" w:line="276" w:lineRule="auto"/>
        <w:jc w:val="both"/>
        <w:rPr>
          <w:rFonts w:ascii="Palatino Linotype" w:hAnsi="Palatino Linotype" w:cs="Tahoma"/>
        </w:rPr>
      </w:pPr>
    </w:p>
    <w:p w:rsidR="004E7E73" w:rsidRPr="004E7E73" w:rsidRDefault="004E7E73" w:rsidP="004E7E73">
      <w:pPr>
        <w:spacing w:after="0" w:line="276" w:lineRule="auto"/>
        <w:jc w:val="both"/>
        <w:rPr>
          <w:rFonts w:ascii="Palatino Linotype" w:hAnsi="Palatino Linotype" w:cs="Tahoma"/>
          <w:lang w:val="es-MX"/>
        </w:rPr>
      </w:pPr>
      <w:r w:rsidRPr="004E7E73">
        <w:rPr>
          <w:rFonts w:ascii="Palatino Linotype" w:hAnsi="Palatino Linotype" w:cs="Tahoma"/>
          <w:lang w:val="es-MX"/>
        </w:rPr>
        <w:t xml:space="preserve">Ahora bien, de conformidad con la jurisprudencia </w:t>
      </w:r>
      <w:r w:rsidR="00F17C34" w:rsidRPr="00F17C34">
        <w:rPr>
          <w:rFonts w:ascii="Palatino Linotype" w:hAnsi="Palatino Linotype" w:cs="Tahoma"/>
          <w:lang w:val="es-MX"/>
        </w:rPr>
        <w:t>COSA JUZGADA. REQUISITOS PARA QUE SE CONFIGURE</w:t>
      </w:r>
      <w:r w:rsidR="00F17C34">
        <w:rPr>
          <w:rFonts w:ascii="Palatino Linotype" w:hAnsi="Palatino Linotype" w:cs="Tahoma"/>
          <w:lang w:val="es-MX"/>
        </w:rPr>
        <w:t>,</w:t>
      </w:r>
      <w:r w:rsidR="00F17C34" w:rsidRPr="00F17C34">
        <w:rPr>
          <w:rFonts w:ascii="Palatino Linotype" w:hAnsi="Palatino Linotype" w:cs="Tahoma"/>
          <w:lang w:val="es-MX"/>
        </w:rPr>
        <w:t xml:space="preserve"> </w:t>
      </w:r>
      <w:r w:rsidR="00C04AB8">
        <w:rPr>
          <w:rFonts w:ascii="Palatino Linotype" w:hAnsi="Palatino Linotype" w:cs="Tahoma"/>
          <w:lang w:val="es-MX"/>
        </w:rPr>
        <w:t>número 182437. I.6o.T.28 K.</w:t>
      </w:r>
      <w:r w:rsidRPr="004E7E73">
        <w:rPr>
          <w:rFonts w:ascii="Palatino Linotype" w:hAnsi="Palatino Linotype" w:cs="Tahoma"/>
          <w:lang w:val="es-MX"/>
        </w:rPr>
        <w:t xml:space="preserve">, los supuestos que deben verificarse a fin de determinar la existencia de la cosa juzgada en un juicio, son: </w:t>
      </w:r>
      <w:r w:rsidRPr="004E7E73">
        <w:rPr>
          <w:rFonts w:ascii="Palatino Linotype" w:hAnsi="Palatino Linotype" w:cs="Tahoma"/>
          <w:b/>
          <w:lang w:val="es-MX"/>
        </w:rPr>
        <w:t>a) Identidad de las personas que intervinieron en los dos juicios</w:t>
      </w:r>
      <w:r w:rsidRPr="004E7E73">
        <w:rPr>
          <w:rFonts w:ascii="Palatino Linotype" w:hAnsi="Palatino Linotype" w:cs="Tahoma"/>
          <w:lang w:val="es-MX"/>
        </w:rPr>
        <w:t xml:space="preserve">; </w:t>
      </w:r>
      <w:r w:rsidRPr="004E7E73">
        <w:rPr>
          <w:rFonts w:ascii="Palatino Linotype" w:hAnsi="Palatino Linotype" w:cs="Tahoma"/>
          <w:b/>
          <w:lang w:val="es-MX"/>
        </w:rPr>
        <w:t>b) Identidad en las cosas que se demandan en los juicios</w:t>
      </w:r>
      <w:r w:rsidRPr="004E7E73">
        <w:rPr>
          <w:rFonts w:ascii="Palatino Linotype" w:hAnsi="Palatino Linotype" w:cs="Tahoma"/>
          <w:lang w:val="es-MX"/>
        </w:rPr>
        <w:t>; y, c</w:t>
      </w:r>
      <w:r w:rsidRPr="004E7E73">
        <w:rPr>
          <w:rFonts w:ascii="Palatino Linotype" w:hAnsi="Palatino Linotype" w:cs="Tahoma"/>
          <w:b/>
          <w:lang w:val="es-MX"/>
        </w:rPr>
        <w:t>) Identidad de las causas en que se fundan las dos demandas</w:t>
      </w:r>
      <w:r w:rsidRPr="004E7E73">
        <w:rPr>
          <w:rFonts w:ascii="Palatino Linotype" w:hAnsi="Palatino Linotype" w:cs="Tahoma"/>
          <w:lang w:val="es-MX"/>
        </w:rPr>
        <w:t>; sin embargo, se advierte un cuarto elemento de convicción que requiere verificar el juzgador a fin de actualizar la institución de la cosa juzgada y que se refiere a que en la primera sentencia se haya procedido al análisis del fondo de las pretensiones propuestas.</w:t>
      </w:r>
    </w:p>
    <w:p w:rsidR="004E7E73" w:rsidRPr="004E7E73" w:rsidRDefault="004E7E73" w:rsidP="004E7E73">
      <w:pPr>
        <w:spacing w:after="0" w:line="276" w:lineRule="auto"/>
        <w:jc w:val="both"/>
        <w:rPr>
          <w:rFonts w:ascii="Palatino Linotype" w:hAnsi="Palatino Linotype" w:cs="Tahoma"/>
          <w:lang w:val="es-MX"/>
        </w:rPr>
      </w:pPr>
    </w:p>
    <w:p w:rsidR="004E7E73" w:rsidRPr="004E7E73" w:rsidRDefault="004E7E73" w:rsidP="004E7E73">
      <w:pPr>
        <w:spacing w:after="0" w:line="276" w:lineRule="auto"/>
        <w:jc w:val="both"/>
        <w:rPr>
          <w:rFonts w:ascii="Palatino Linotype" w:hAnsi="Palatino Linotype" w:cs="Tahoma"/>
          <w:lang w:val="es-MX"/>
        </w:rPr>
      </w:pPr>
      <w:r w:rsidRPr="004E7E73">
        <w:rPr>
          <w:rFonts w:ascii="Palatino Linotype" w:hAnsi="Palatino Linotype" w:cs="Tahoma"/>
          <w:lang w:val="es-MX"/>
        </w:rPr>
        <w:t xml:space="preserve">Con respecto al primer supuesto a verificarse, es decir, identidad de las partes, es de suma importancia resaltar que el derecho de acceso a la información, de conformidad con el artículo 6°, apartado A, fracción III, puede ejercerse sin necesidad de acreditar interés alguno o justificar su utilización, en ese sentido, el artículo 155, penúltimo y último párrafo, de la Ley de Transparencia y Acceso a la Información Pública del Estado de México y Municipios, dispone que el nombre del solicitante será proporcionado de manera opcional al momento de presentar una solicitud de acceso, </w:t>
      </w:r>
      <w:r w:rsidR="00C04AB8">
        <w:rPr>
          <w:rFonts w:ascii="Palatino Linotype" w:hAnsi="Palatino Linotype" w:cs="Tahoma"/>
          <w:lang w:val="es-MX"/>
        </w:rPr>
        <w:t>en ese sentido</w:t>
      </w:r>
      <w:r w:rsidRPr="004E7E73">
        <w:rPr>
          <w:rFonts w:ascii="Palatino Linotype" w:hAnsi="Palatino Linotype" w:cs="Tahoma"/>
          <w:lang w:val="es-MX"/>
        </w:rPr>
        <w:t xml:space="preserve">, serán aceptadas solicitudes anónimas, con nombre incompleto o seudónimo. </w:t>
      </w:r>
    </w:p>
    <w:p w:rsidR="004E7E73" w:rsidRPr="004E7E73" w:rsidRDefault="004E7E73" w:rsidP="004E7E73">
      <w:pPr>
        <w:spacing w:after="0" w:line="276" w:lineRule="auto"/>
        <w:jc w:val="both"/>
        <w:rPr>
          <w:rFonts w:ascii="Palatino Linotype" w:hAnsi="Palatino Linotype" w:cs="Tahoma"/>
          <w:lang w:val="es-MX"/>
        </w:rPr>
      </w:pPr>
    </w:p>
    <w:p w:rsidR="004E7E73" w:rsidRPr="004E7E73" w:rsidRDefault="004E7E73" w:rsidP="004E7E73">
      <w:pPr>
        <w:spacing w:after="0" w:line="276" w:lineRule="auto"/>
        <w:jc w:val="both"/>
        <w:rPr>
          <w:rFonts w:ascii="Palatino Linotype" w:hAnsi="Palatino Linotype" w:cs="Tahoma"/>
          <w:lang w:val="es-MX"/>
        </w:rPr>
      </w:pPr>
      <w:r w:rsidRPr="004E7E73">
        <w:rPr>
          <w:rFonts w:ascii="Palatino Linotype" w:hAnsi="Palatino Linotype" w:cs="Tahoma"/>
          <w:lang w:val="es-MX"/>
        </w:rPr>
        <w:lastRenderedPageBreak/>
        <w:t>Así, de una interpretación armónica de las disposiciones en materia de derecho de acceso a la información, se puede concluir que la acreditación del solicitante, entendida esta como la demostración de que una persona es quien dice ser a través de medios oficiales de identificación, no puede exigirse en el ejercicio del derecho y al no poder exigirse, este Instituto tampoco puede basarse en el nombre proporcionado por una persona para determinar que existe identidad de partes. En consecuencia, no se actualiza el primer supuesto para que opere la cosa juzgada, con ello dicha institución resulta inaplicable para el ejercicio del derecho de acceso a la información.</w:t>
      </w:r>
    </w:p>
    <w:p w:rsidR="004E7E73" w:rsidRPr="004E7E73" w:rsidRDefault="004E7E73" w:rsidP="004E7E73">
      <w:pPr>
        <w:spacing w:after="0" w:line="276" w:lineRule="auto"/>
        <w:jc w:val="both"/>
        <w:rPr>
          <w:rFonts w:ascii="Palatino Linotype" w:hAnsi="Palatino Linotype" w:cs="Tahoma"/>
          <w:lang w:val="es-MX"/>
        </w:rPr>
      </w:pPr>
    </w:p>
    <w:p w:rsidR="00CE7F0C" w:rsidRDefault="00C04AB8" w:rsidP="004E7E73">
      <w:pPr>
        <w:spacing w:after="0" w:line="276" w:lineRule="auto"/>
        <w:jc w:val="both"/>
        <w:rPr>
          <w:rFonts w:ascii="Palatino Linotype" w:hAnsi="Palatino Linotype" w:cs="Tahoma"/>
          <w:lang w:val="es-MX"/>
        </w:rPr>
      </w:pPr>
      <w:r>
        <w:rPr>
          <w:rFonts w:ascii="Palatino Linotype" w:hAnsi="Palatino Linotype" w:cs="Tahoma"/>
          <w:lang w:val="es-MX"/>
        </w:rPr>
        <w:t xml:space="preserve">Adicionalmente, en el diverso recurso de revisión </w:t>
      </w:r>
      <w:r w:rsidRPr="00C04AB8">
        <w:rPr>
          <w:rFonts w:ascii="Palatino Linotype" w:hAnsi="Palatino Linotype" w:cs="Tahoma"/>
          <w:lang w:val="es-MX"/>
        </w:rPr>
        <w:t>04162/INFOEM/IP/RR/2018</w:t>
      </w:r>
      <w:r>
        <w:rPr>
          <w:rFonts w:ascii="Palatino Linotype" w:hAnsi="Palatino Linotype" w:cs="Tahoma"/>
          <w:lang w:val="es-MX"/>
        </w:rPr>
        <w:t xml:space="preserve">, el acto recurrido </w:t>
      </w:r>
      <w:r w:rsidR="00CE7F0C">
        <w:rPr>
          <w:rFonts w:ascii="Palatino Linotype" w:hAnsi="Palatino Linotype" w:cs="Tahoma"/>
          <w:lang w:val="es-MX"/>
        </w:rPr>
        <w:t>consistió en:</w:t>
      </w:r>
    </w:p>
    <w:p w:rsidR="00CE7F0C" w:rsidRDefault="00CE7F0C" w:rsidP="004E7E73">
      <w:pPr>
        <w:spacing w:after="0" w:line="276" w:lineRule="auto"/>
        <w:jc w:val="both"/>
        <w:rPr>
          <w:rFonts w:ascii="Palatino Linotype" w:hAnsi="Palatino Linotype" w:cs="Tahoma"/>
          <w:lang w:val="es-MX"/>
        </w:rPr>
      </w:pPr>
    </w:p>
    <w:p w:rsidR="00CE7F0C" w:rsidRDefault="00CE7F0C" w:rsidP="00CE7F0C">
      <w:pPr>
        <w:spacing w:after="0" w:line="276" w:lineRule="auto"/>
        <w:ind w:left="567" w:right="567"/>
        <w:jc w:val="both"/>
        <w:rPr>
          <w:rFonts w:ascii="Palatino Linotype" w:hAnsi="Palatino Linotype" w:cs="Tahoma"/>
          <w:lang w:val="es-MX"/>
        </w:rPr>
      </w:pPr>
      <w:r w:rsidRPr="00CE7F0C">
        <w:rPr>
          <w:rFonts w:ascii="Palatino Linotype" w:hAnsi="Palatino Linotype" w:cs="Tahoma"/>
          <w:lang w:val="es-MX"/>
        </w:rPr>
        <w:t>“la negativa a la contestación. la omisión a la respuesta trascurrió en termino de 15 días para la entrega de la información y se me negó mi derecho a la información que solicite.” (Sic)</w:t>
      </w:r>
    </w:p>
    <w:p w:rsidR="00CE7F0C" w:rsidRDefault="00CE7F0C" w:rsidP="004E7E73">
      <w:pPr>
        <w:spacing w:after="0" w:line="276" w:lineRule="auto"/>
        <w:jc w:val="both"/>
        <w:rPr>
          <w:rFonts w:ascii="Palatino Linotype" w:hAnsi="Palatino Linotype" w:cs="Tahoma"/>
          <w:lang w:val="es-MX"/>
        </w:rPr>
      </w:pPr>
    </w:p>
    <w:p w:rsidR="00C04AB8" w:rsidRDefault="00CE7F0C" w:rsidP="004E7E73">
      <w:pPr>
        <w:spacing w:after="0" w:line="276" w:lineRule="auto"/>
        <w:jc w:val="both"/>
        <w:rPr>
          <w:rFonts w:ascii="Palatino Linotype" w:hAnsi="Palatino Linotype" w:cs="Tahoma"/>
          <w:lang w:val="es-MX"/>
        </w:rPr>
      </w:pPr>
      <w:r>
        <w:rPr>
          <w:rFonts w:ascii="Palatino Linotype" w:hAnsi="Palatino Linotype" w:cs="Tahoma"/>
          <w:lang w:val="es-MX"/>
        </w:rPr>
        <w:t xml:space="preserve">Es decir, </w:t>
      </w:r>
      <w:r w:rsidR="00C04AB8">
        <w:rPr>
          <w:rFonts w:ascii="Palatino Linotype" w:hAnsi="Palatino Linotype" w:cs="Tahoma"/>
          <w:lang w:val="es-MX"/>
        </w:rPr>
        <w:t xml:space="preserve">se limitó a la falta de respuesta a una solicitud de acceso a la información, mientras que el acto recurrido en el presente asunto se limita a la entrega de información incompleta; por lo que </w:t>
      </w:r>
      <w:r w:rsidR="00C04AB8" w:rsidRPr="00CE7F0C">
        <w:rPr>
          <w:rFonts w:ascii="Palatino Linotype" w:hAnsi="Palatino Linotype" w:cs="Tahoma"/>
          <w:b/>
          <w:lang w:val="es-MX"/>
        </w:rPr>
        <w:t>tampoco existe identidad en las cosas que se demandan</w:t>
      </w:r>
      <w:r w:rsidR="00C04AB8">
        <w:rPr>
          <w:rFonts w:ascii="Palatino Linotype" w:hAnsi="Palatino Linotype" w:cs="Tahoma"/>
          <w:lang w:val="es-MX"/>
        </w:rPr>
        <w:t>.</w:t>
      </w:r>
      <w:r>
        <w:rPr>
          <w:rFonts w:ascii="Palatino Linotype" w:hAnsi="Palatino Linotype" w:cs="Tahoma"/>
          <w:lang w:val="es-MX"/>
        </w:rPr>
        <w:t xml:space="preserve"> Cuestión que hace improcedente que opere la cosa juzgada.</w:t>
      </w:r>
    </w:p>
    <w:p w:rsidR="00C04AB8" w:rsidRPr="004E7E73" w:rsidRDefault="00C04AB8" w:rsidP="004E7E73">
      <w:pPr>
        <w:spacing w:after="0" w:line="276" w:lineRule="auto"/>
        <w:jc w:val="both"/>
        <w:rPr>
          <w:rFonts w:ascii="Palatino Linotype" w:hAnsi="Palatino Linotype" w:cs="Tahoma"/>
          <w:lang w:val="es-MX"/>
        </w:rPr>
      </w:pPr>
    </w:p>
    <w:p w:rsidR="004E7E73" w:rsidRPr="004E7E73" w:rsidRDefault="00C04AB8" w:rsidP="004E7E73">
      <w:pPr>
        <w:spacing w:after="0" w:line="276" w:lineRule="auto"/>
        <w:jc w:val="both"/>
        <w:rPr>
          <w:rFonts w:ascii="Palatino Linotype" w:hAnsi="Palatino Linotype" w:cs="Tahoma"/>
          <w:lang w:val="es-MX"/>
        </w:rPr>
      </w:pPr>
      <w:r>
        <w:rPr>
          <w:rFonts w:ascii="Palatino Linotype" w:hAnsi="Palatino Linotype" w:cs="Tahoma"/>
          <w:lang w:val="es-MX"/>
        </w:rPr>
        <w:t>Por otro lado</w:t>
      </w:r>
      <w:r w:rsidR="004E7E73" w:rsidRPr="004E7E73">
        <w:rPr>
          <w:rFonts w:ascii="Palatino Linotype" w:hAnsi="Palatino Linotype" w:cs="Tahoma"/>
          <w:lang w:val="es-MX"/>
        </w:rPr>
        <w:t xml:space="preserve">, </w:t>
      </w:r>
      <w:r>
        <w:rPr>
          <w:rFonts w:ascii="Palatino Linotype" w:hAnsi="Palatino Linotype" w:cs="Tahoma"/>
          <w:lang w:val="es-MX"/>
        </w:rPr>
        <w:t xml:space="preserve">es importante decir que </w:t>
      </w:r>
      <w:r w:rsidR="004E7E73" w:rsidRPr="004E7E73">
        <w:rPr>
          <w:rFonts w:ascii="Palatino Linotype" w:hAnsi="Palatino Linotype" w:cs="Tahoma"/>
          <w:lang w:val="es-MX"/>
        </w:rPr>
        <w:t>la intención del legislador nunca fue restringir el derecho de acceso a la información a los particulares, de tal suerte que sólo pudieran presentar una solicitud por tema y en caso de haber agotado su oportunidad se tendría por restringido su derecho a través de una resolución que determinara que la cuestión fue resuelta en definitiva y por tanto opera la cosa juzgada. De ser así, la cosa juzgada se hubiera incluido en el apartado de improcedencia del recurso de revisión.</w:t>
      </w:r>
    </w:p>
    <w:p w:rsidR="004E7E73" w:rsidRPr="004E7E73" w:rsidRDefault="004E7E73" w:rsidP="004E7E73">
      <w:pPr>
        <w:spacing w:after="0" w:line="276" w:lineRule="auto"/>
        <w:jc w:val="both"/>
        <w:rPr>
          <w:rFonts w:ascii="Palatino Linotype" w:hAnsi="Palatino Linotype" w:cs="Tahoma"/>
          <w:lang w:val="es-MX"/>
        </w:rPr>
      </w:pPr>
    </w:p>
    <w:p w:rsidR="004E7E73" w:rsidRPr="004E7E73" w:rsidRDefault="00C04AB8" w:rsidP="004E7E73">
      <w:pPr>
        <w:spacing w:after="0" w:line="276" w:lineRule="auto"/>
        <w:jc w:val="both"/>
        <w:rPr>
          <w:rFonts w:ascii="Palatino Linotype" w:hAnsi="Palatino Linotype" w:cs="Tahoma"/>
          <w:lang w:val="es-MX"/>
        </w:rPr>
      </w:pPr>
      <w:r>
        <w:rPr>
          <w:rFonts w:ascii="Palatino Linotype" w:hAnsi="Palatino Linotype" w:cs="Tahoma"/>
          <w:lang w:val="es-MX"/>
        </w:rPr>
        <w:t>Asimismo</w:t>
      </w:r>
      <w:r w:rsidR="004E7E73" w:rsidRPr="004E7E73">
        <w:rPr>
          <w:rFonts w:ascii="Palatino Linotype" w:hAnsi="Palatino Linotype" w:cs="Tahoma"/>
          <w:lang w:val="es-MX"/>
        </w:rPr>
        <w:t xml:space="preserve">, </w:t>
      </w:r>
      <w:r w:rsidR="00781866">
        <w:rPr>
          <w:rFonts w:ascii="Palatino Linotype" w:hAnsi="Palatino Linotype" w:cs="Tahoma"/>
          <w:lang w:val="es-MX"/>
        </w:rPr>
        <w:t>en</w:t>
      </w:r>
      <w:r w:rsidR="004E7E73" w:rsidRPr="004E7E73">
        <w:rPr>
          <w:rFonts w:ascii="Palatino Linotype" w:hAnsi="Palatino Linotype" w:cs="Tahoma"/>
          <w:lang w:val="es-MX"/>
        </w:rPr>
        <w:t xml:space="preserve"> la sentencia de amparo relativa al juicio número 1619/2018, se determinó que la </w:t>
      </w:r>
      <w:r w:rsidR="00781866">
        <w:rPr>
          <w:rFonts w:ascii="Palatino Linotype" w:hAnsi="Palatino Linotype" w:cs="Tahoma"/>
          <w:lang w:val="es-MX"/>
        </w:rPr>
        <w:t>R</w:t>
      </w:r>
      <w:r w:rsidR="004E7E73" w:rsidRPr="004E7E73">
        <w:rPr>
          <w:rFonts w:ascii="Palatino Linotype" w:hAnsi="Palatino Linotype" w:cs="Tahoma"/>
          <w:lang w:val="es-MX"/>
        </w:rPr>
        <w:t xml:space="preserve">esolución del </w:t>
      </w:r>
      <w:r w:rsidR="00781866">
        <w:rPr>
          <w:rFonts w:ascii="Palatino Linotype" w:hAnsi="Palatino Linotype" w:cs="Tahoma"/>
          <w:lang w:val="es-MX"/>
        </w:rPr>
        <w:t>R</w:t>
      </w:r>
      <w:r w:rsidR="004E7E73" w:rsidRPr="004E7E73">
        <w:rPr>
          <w:rFonts w:ascii="Palatino Linotype" w:hAnsi="Palatino Linotype" w:cs="Tahoma"/>
          <w:lang w:val="es-MX"/>
        </w:rPr>
        <w:t xml:space="preserve">ecurso de </w:t>
      </w:r>
      <w:r w:rsidR="00781866">
        <w:rPr>
          <w:rFonts w:ascii="Palatino Linotype" w:hAnsi="Palatino Linotype" w:cs="Tahoma"/>
          <w:lang w:val="es-MX"/>
        </w:rPr>
        <w:t>R</w:t>
      </w:r>
      <w:r w:rsidR="004E7E73" w:rsidRPr="004E7E73">
        <w:rPr>
          <w:rFonts w:ascii="Palatino Linotype" w:hAnsi="Palatino Linotype" w:cs="Tahoma"/>
          <w:lang w:val="es-MX"/>
        </w:rPr>
        <w:t>evisión 02777</w:t>
      </w:r>
      <w:r>
        <w:rPr>
          <w:rFonts w:ascii="Palatino Linotype" w:hAnsi="Palatino Linotype" w:cs="Tahoma"/>
          <w:lang w:val="es-MX"/>
        </w:rPr>
        <w:t>/</w:t>
      </w:r>
      <w:r w:rsidRPr="00C04AB8">
        <w:rPr>
          <w:rFonts w:ascii="Palatino Linotype" w:hAnsi="Palatino Linotype" w:cs="Tahoma"/>
          <w:lang w:val="es-MX"/>
        </w:rPr>
        <w:t>INFOEM/IP/RR/2018</w:t>
      </w:r>
      <w:r w:rsidR="004E7E73" w:rsidRPr="004E7E73">
        <w:rPr>
          <w:rFonts w:ascii="Palatino Linotype" w:hAnsi="Palatino Linotype" w:cs="Tahoma"/>
          <w:lang w:val="es-MX"/>
        </w:rPr>
        <w:t xml:space="preserve">, fue violatoria de las garantías previstas en el artículo 16 Constitucional, al tener una indebida fundamentación y motivación, ya que se invocó como fundamento un precepto legal inaplicable (el Código de Procedimientos Administrativos del Estado de México que prevé la cosa juzgada) como </w:t>
      </w:r>
      <w:r w:rsidR="004E7E73" w:rsidRPr="004E7E73">
        <w:rPr>
          <w:rFonts w:ascii="Palatino Linotype" w:hAnsi="Palatino Linotype" w:cs="Tahoma"/>
          <w:lang w:val="es-MX"/>
        </w:rPr>
        <w:lastRenderedPageBreak/>
        <w:t>causal de improcedencia, cuando la Ley en materia de transparencia prevé sus propias causales de improcedencia, a las cuales debe limitarse este Instituto.</w:t>
      </w:r>
    </w:p>
    <w:p w:rsidR="004E7E73" w:rsidRPr="004E7E73" w:rsidRDefault="004E7E73" w:rsidP="004E7E73">
      <w:pPr>
        <w:spacing w:after="0" w:line="276" w:lineRule="auto"/>
        <w:jc w:val="both"/>
        <w:rPr>
          <w:rFonts w:ascii="Palatino Linotype" w:hAnsi="Palatino Linotype" w:cs="Tahoma"/>
          <w:lang w:val="es-MX"/>
        </w:rPr>
      </w:pPr>
    </w:p>
    <w:p w:rsidR="004E7E73" w:rsidRPr="004E7E73" w:rsidRDefault="004E7E73" w:rsidP="004E7E73">
      <w:pPr>
        <w:spacing w:after="0" w:line="276" w:lineRule="auto"/>
        <w:jc w:val="both"/>
        <w:rPr>
          <w:rFonts w:ascii="Palatino Linotype" w:hAnsi="Palatino Linotype" w:cs="Tahoma"/>
          <w:lang w:val="es-MX"/>
        </w:rPr>
      </w:pPr>
      <w:r w:rsidRPr="004E7E73">
        <w:rPr>
          <w:rFonts w:ascii="Palatino Linotype" w:hAnsi="Palatino Linotype" w:cs="Tahoma"/>
          <w:lang w:val="es-MX"/>
        </w:rPr>
        <w:t>Por lo tanto, la cosa juzgada no deber ser utilizada en el ejercicio del derecho de acceso a la información, pues sus exigenc</w:t>
      </w:r>
      <w:r w:rsidR="00781866">
        <w:rPr>
          <w:rFonts w:ascii="Palatino Linotype" w:hAnsi="Palatino Linotype" w:cs="Tahoma"/>
          <w:lang w:val="es-MX"/>
        </w:rPr>
        <w:t>ias no se cumplen en la materia</w:t>
      </w:r>
      <w:r w:rsidRPr="004E7E73">
        <w:rPr>
          <w:rFonts w:ascii="Palatino Linotype" w:hAnsi="Palatino Linotype" w:cs="Tahoma"/>
          <w:lang w:val="es-MX"/>
        </w:rPr>
        <w:t xml:space="preserve">, </w:t>
      </w:r>
      <w:r w:rsidR="00781866">
        <w:rPr>
          <w:rFonts w:ascii="Palatino Linotype" w:hAnsi="Palatino Linotype" w:cs="Tahoma"/>
          <w:lang w:val="es-MX"/>
        </w:rPr>
        <w:t>además de que la Ley de Transparencia y Acceso a la Información Pública del Estado de México y Municipios no prevé dicha figura.</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both"/>
        <w:rPr>
          <w:rFonts w:ascii="Palatino Linotype" w:hAnsi="Palatino Linotype" w:cs="Tahoma"/>
        </w:rPr>
      </w:pPr>
      <w:r w:rsidRPr="00D05444">
        <w:rPr>
          <w:rFonts w:ascii="Palatino Linotype" w:hAnsi="Palatino Linotype" w:cs="Tahoma"/>
        </w:rPr>
        <w:t>Así, con base en los razo</w:t>
      </w:r>
      <w:r w:rsidR="00743EE0">
        <w:rPr>
          <w:rFonts w:ascii="Palatino Linotype" w:hAnsi="Palatino Linotype" w:cs="Tahoma"/>
        </w:rPr>
        <w:t>namientos expuestos, se emite el</w:t>
      </w:r>
      <w:r w:rsidRPr="00D05444">
        <w:rPr>
          <w:rFonts w:ascii="Palatino Linotype" w:hAnsi="Palatino Linotype" w:cs="Tahoma"/>
        </w:rPr>
        <w:t xml:space="preserve"> presente </w:t>
      </w:r>
      <w:r w:rsidR="00743EE0">
        <w:rPr>
          <w:rFonts w:ascii="Palatino Linotype" w:hAnsi="Palatino Linotype" w:cs="Tahoma"/>
        </w:rPr>
        <w:t>voto</w:t>
      </w:r>
      <w:r w:rsidRPr="00D05444">
        <w:rPr>
          <w:rFonts w:ascii="Palatino Linotype" w:hAnsi="Palatino Linotype" w:cs="Tahoma"/>
        </w:rPr>
        <w:t xml:space="preserve"> particular.</w:t>
      </w:r>
    </w:p>
    <w:p w:rsidR="00D05444" w:rsidRPr="00D05444" w:rsidRDefault="00D05444" w:rsidP="00D05444">
      <w:pPr>
        <w:spacing w:after="0" w:line="276" w:lineRule="auto"/>
        <w:jc w:val="both"/>
        <w:rPr>
          <w:rFonts w:ascii="Palatino Linotype" w:hAnsi="Palatino Linotype" w:cs="Tahoma"/>
        </w:rPr>
      </w:pPr>
    </w:p>
    <w:p w:rsidR="00D05444" w:rsidRPr="00D05444" w:rsidRDefault="00D05444" w:rsidP="00D05444">
      <w:pPr>
        <w:spacing w:after="0" w:line="276" w:lineRule="auto"/>
        <w:jc w:val="center"/>
        <w:rPr>
          <w:rFonts w:ascii="Palatino Linotype" w:hAnsi="Palatino Linotype" w:cs="Tahoma"/>
        </w:rPr>
      </w:pPr>
    </w:p>
    <w:p w:rsidR="00D05444" w:rsidRPr="00135847" w:rsidRDefault="00D05444" w:rsidP="00D05444">
      <w:pPr>
        <w:spacing w:after="0" w:line="276" w:lineRule="auto"/>
        <w:jc w:val="center"/>
        <w:rPr>
          <w:rFonts w:ascii="Palatino Linotype" w:hAnsi="Palatino Linotype" w:cs="Tahoma"/>
          <w:b/>
        </w:rPr>
      </w:pPr>
      <w:r w:rsidRPr="00135847">
        <w:rPr>
          <w:rFonts w:ascii="Palatino Linotype" w:hAnsi="Palatino Linotype" w:cs="Tahoma"/>
          <w:b/>
        </w:rPr>
        <w:t>Luis Gustavo Parra Noriega</w:t>
      </w:r>
    </w:p>
    <w:p w:rsidR="00D05444" w:rsidRDefault="00D05444" w:rsidP="00D05444">
      <w:pPr>
        <w:spacing w:after="0" w:line="276" w:lineRule="auto"/>
        <w:jc w:val="center"/>
        <w:rPr>
          <w:rFonts w:ascii="Palatino Linotype" w:hAnsi="Palatino Linotype" w:cs="Tahoma"/>
          <w:b/>
        </w:rPr>
      </w:pPr>
      <w:r w:rsidRPr="00D05444">
        <w:rPr>
          <w:rFonts w:ascii="Palatino Linotype" w:hAnsi="Palatino Linotype" w:cs="Tahoma"/>
          <w:b/>
        </w:rPr>
        <w:t>Comisionado</w:t>
      </w:r>
    </w:p>
    <w:p w:rsidR="00135847" w:rsidRPr="00D05444" w:rsidRDefault="00135847" w:rsidP="00135847">
      <w:pPr>
        <w:spacing w:after="0" w:line="276" w:lineRule="auto"/>
        <w:jc w:val="center"/>
        <w:rPr>
          <w:rFonts w:ascii="Palatino Linotype" w:hAnsi="Palatino Linotype" w:cs="Tahoma"/>
          <w:b/>
        </w:rPr>
      </w:pPr>
      <w:r w:rsidRPr="00D05444">
        <w:rPr>
          <w:rFonts w:ascii="Palatino Linotype" w:hAnsi="Palatino Linotype" w:cs="Tahoma"/>
          <w:b/>
        </w:rPr>
        <w:t>(Rúbrica)</w:t>
      </w:r>
    </w:p>
    <w:p w:rsidR="00135847" w:rsidRPr="00D05444" w:rsidRDefault="00135847" w:rsidP="00D05444">
      <w:pPr>
        <w:spacing w:after="0" w:line="276" w:lineRule="auto"/>
        <w:jc w:val="center"/>
        <w:rPr>
          <w:rFonts w:ascii="Palatino Linotype" w:hAnsi="Palatino Linotype" w:cs="Tahoma"/>
          <w:b/>
        </w:rPr>
      </w:pPr>
    </w:p>
    <w:p w:rsidR="00D05444" w:rsidRPr="00D05444" w:rsidRDefault="00D05444" w:rsidP="00D05444">
      <w:pPr>
        <w:spacing w:after="0" w:line="276" w:lineRule="auto"/>
        <w:jc w:val="both"/>
        <w:rPr>
          <w:rFonts w:ascii="Palatino Linotype" w:hAnsi="Palatino Linotype" w:cs="Tahoma"/>
        </w:rPr>
      </w:pPr>
    </w:p>
    <w:p w:rsidR="003512C9" w:rsidRPr="00D05444" w:rsidRDefault="003512C9" w:rsidP="00D05444">
      <w:pPr>
        <w:spacing w:after="0" w:line="276" w:lineRule="auto"/>
        <w:jc w:val="both"/>
        <w:rPr>
          <w:rFonts w:ascii="Palatino Linotype" w:hAnsi="Palatino Linotype" w:cs="Tahoma"/>
        </w:rPr>
      </w:pPr>
    </w:p>
    <w:sectPr w:rsidR="003512C9" w:rsidRPr="00D05444"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6E" w:rsidRDefault="0083186E" w:rsidP="00EE29F6">
      <w:pPr>
        <w:spacing w:after="0" w:line="240" w:lineRule="auto"/>
      </w:pPr>
      <w:r>
        <w:separator/>
      </w:r>
    </w:p>
  </w:endnote>
  <w:endnote w:type="continuationSeparator" w:id="0">
    <w:p w:rsidR="0083186E" w:rsidRDefault="0083186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3552A">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3552A">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6E" w:rsidRDefault="0083186E" w:rsidP="00EE29F6">
      <w:pPr>
        <w:spacing w:after="0" w:line="240" w:lineRule="auto"/>
      </w:pPr>
      <w:r>
        <w:separator/>
      </w:r>
    </w:p>
  </w:footnote>
  <w:footnote w:type="continuationSeparator" w:id="0">
    <w:p w:rsidR="0083186E" w:rsidRDefault="0083186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4536"/>
    </w:tblGrid>
    <w:tr w:rsidR="00363357" w:rsidRPr="001106EA" w:rsidTr="0073552A">
      <w:trPr>
        <w:trHeight w:val="1843"/>
      </w:trPr>
      <w:tc>
        <w:tcPr>
          <w:tcW w:w="3969"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4536" w:type="dxa"/>
          <w:vAlign w:val="center"/>
        </w:tcPr>
        <w:p w:rsidR="00363357" w:rsidRPr="00085241" w:rsidRDefault="00363357" w:rsidP="00D05444">
          <w:pPr>
            <w:pStyle w:val="Encabezado"/>
            <w:jc w:val="both"/>
            <w:rPr>
              <w:rFonts w:ascii="Palatino Linotype" w:hAnsi="Palatino Linotype" w:cs="Tahoma"/>
              <w:b/>
            </w:rPr>
          </w:pPr>
          <w:r w:rsidRPr="00085241">
            <w:rPr>
              <w:rFonts w:ascii="Palatino Linotype" w:hAnsi="Palatino Linotype" w:cs="Tahoma"/>
              <w:b/>
            </w:rPr>
            <w:t>Voto Particular</w:t>
          </w:r>
        </w:p>
        <w:p w:rsidR="00104333" w:rsidRPr="00085241" w:rsidRDefault="00743EE0" w:rsidP="00D05444">
          <w:pPr>
            <w:pStyle w:val="Encabezado"/>
            <w:jc w:val="both"/>
            <w:rPr>
              <w:rFonts w:ascii="Palatino Linotype" w:hAnsi="Palatino Linotype" w:cs="Tahoma"/>
              <w:b/>
            </w:rPr>
          </w:pPr>
          <w:r>
            <w:rPr>
              <w:rFonts w:ascii="Palatino Linotype" w:hAnsi="Palatino Linotype" w:cs="Tahoma"/>
              <w:b/>
            </w:rPr>
            <w:t>Recurso de Revisión:</w:t>
          </w:r>
          <w:r w:rsidR="00F17C34">
            <w:rPr>
              <w:rFonts w:ascii="Palatino Linotype" w:hAnsi="Palatino Linotype" w:cs="Tahoma"/>
              <w:b/>
            </w:rPr>
            <w:t xml:space="preserve"> </w:t>
          </w:r>
          <w:r>
            <w:rPr>
              <w:rFonts w:ascii="Palatino Linotype" w:hAnsi="Palatino Linotype" w:cs="Tahoma"/>
              <w:b/>
            </w:rPr>
            <w:t>4359</w:t>
          </w:r>
          <w:r w:rsidR="00363357" w:rsidRPr="00085241">
            <w:rPr>
              <w:rFonts w:ascii="Palatino Linotype" w:hAnsi="Palatino Linotype" w:cs="Tahoma"/>
              <w:b/>
            </w:rPr>
            <w:t>/INFOEM/IP/RR/201</w:t>
          </w:r>
          <w:r w:rsidR="00104333" w:rsidRPr="00085241">
            <w:rPr>
              <w:rFonts w:ascii="Palatino Linotype" w:hAnsi="Palatino Linotype" w:cs="Tahoma"/>
              <w:b/>
            </w:rPr>
            <w:t>8</w:t>
          </w:r>
        </w:p>
        <w:p w:rsidR="00DF2784" w:rsidRPr="00085241" w:rsidRDefault="00DF2784" w:rsidP="00D05444">
          <w:pPr>
            <w:pStyle w:val="Encabezado"/>
            <w:jc w:val="both"/>
            <w:rPr>
              <w:rFonts w:ascii="Palatino Linotype" w:hAnsi="Palatino Linotype" w:cs="Tahoma"/>
              <w:b/>
            </w:rPr>
          </w:pPr>
          <w:r w:rsidRPr="00085241">
            <w:rPr>
              <w:rFonts w:ascii="Palatino Linotype" w:hAnsi="Palatino Linotype" w:cs="Tahoma"/>
              <w:b/>
            </w:rPr>
            <w:t xml:space="preserve">Sujeto Obligado: </w:t>
          </w:r>
          <w:r w:rsidR="00743EE0">
            <w:rPr>
              <w:rFonts w:ascii="Palatino Linotype" w:hAnsi="Palatino Linotype" w:cs="Tahoma"/>
              <w:b/>
            </w:rPr>
            <w:t>Ayuntamiento de Tecámac</w:t>
          </w:r>
        </w:p>
        <w:p w:rsidR="00363357" w:rsidRPr="001106EA" w:rsidRDefault="00743EE0" w:rsidP="00743EE0">
          <w:pPr>
            <w:pStyle w:val="Encabezado"/>
            <w:jc w:val="both"/>
            <w:rPr>
              <w:rFonts w:ascii="Tahoma" w:hAnsi="Tahoma" w:cs="Tahoma"/>
            </w:rPr>
          </w:pPr>
          <w:r>
            <w:rPr>
              <w:rFonts w:ascii="Palatino Linotype" w:hAnsi="Palatino Linotype" w:cs="Tahoma"/>
              <w:b/>
            </w:rPr>
            <w:t>Comisionado</w:t>
          </w:r>
          <w:r w:rsidR="00363357" w:rsidRPr="00085241">
            <w:rPr>
              <w:rFonts w:ascii="Palatino Linotype" w:hAnsi="Palatino Linotype" w:cs="Tahoma"/>
              <w:b/>
            </w:rPr>
            <w:t xml:space="preserve"> Ponente: </w:t>
          </w:r>
          <w:r>
            <w:rPr>
              <w:rFonts w:ascii="Palatino Linotype" w:hAnsi="Palatino Linotype" w:cs="Tahoma"/>
              <w:b/>
            </w:rPr>
            <w:t>Javier Martínez Cruz</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6"/>
  </w:num>
  <w:num w:numId="9">
    <w:abstractNumId w:val="13"/>
  </w:num>
  <w:num w:numId="10">
    <w:abstractNumId w:val="14"/>
  </w:num>
  <w:num w:numId="11">
    <w:abstractNumId w:val="15"/>
  </w:num>
  <w:num w:numId="12">
    <w:abstractNumId w:val="1"/>
  </w:num>
  <w:num w:numId="13">
    <w:abstractNumId w:val="8"/>
  </w:num>
  <w:num w:numId="14">
    <w:abstractNumId w:val="17"/>
  </w:num>
  <w:num w:numId="15">
    <w:abstractNumId w:val="6"/>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B3D"/>
    <w:rsid w:val="0002483E"/>
    <w:rsid w:val="000253E5"/>
    <w:rsid w:val="0002627D"/>
    <w:rsid w:val="0002759D"/>
    <w:rsid w:val="000301C6"/>
    <w:rsid w:val="00042397"/>
    <w:rsid w:val="000466A3"/>
    <w:rsid w:val="00056BD3"/>
    <w:rsid w:val="00060F74"/>
    <w:rsid w:val="0006561A"/>
    <w:rsid w:val="00085241"/>
    <w:rsid w:val="0008691F"/>
    <w:rsid w:val="00087AC8"/>
    <w:rsid w:val="0009277A"/>
    <w:rsid w:val="00097988"/>
    <w:rsid w:val="00097A79"/>
    <w:rsid w:val="000B235B"/>
    <w:rsid w:val="000B61DD"/>
    <w:rsid w:val="000B7F6F"/>
    <w:rsid w:val="000C10B7"/>
    <w:rsid w:val="000C6052"/>
    <w:rsid w:val="000D186F"/>
    <w:rsid w:val="000E64B7"/>
    <w:rsid w:val="000F1CD2"/>
    <w:rsid w:val="00104333"/>
    <w:rsid w:val="0010688C"/>
    <w:rsid w:val="001106EA"/>
    <w:rsid w:val="001159DC"/>
    <w:rsid w:val="00116E1A"/>
    <w:rsid w:val="00135847"/>
    <w:rsid w:val="00136AD8"/>
    <w:rsid w:val="0014038B"/>
    <w:rsid w:val="00140A57"/>
    <w:rsid w:val="0014736A"/>
    <w:rsid w:val="00161815"/>
    <w:rsid w:val="00162325"/>
    <w:rsid w:val="00164625"/>
    <w:rsid w:val="00164BFE"/>
    <w:rsid w:val="0018472D"/>
    <w:rsid w:val="00193AA8"/>
    <w:rsid w:val="00197A72"/>
    <w:rsid w:val="001A145C"/>
    <w:rsid w:val="001A6BD9"/>
    <w:rsid w:val="001C1C64"/>
    <w:rsid w:val="001C363A"/>
    <w:rsid w:val="001C7C6D"/>
    <w:rsid w:val="0020052A"/>
    <w:rsid w:val="00220D45"/>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333B7A"/>
    <w:rsid w:val="00344DD1"/>
    <w:rsid w:val="003512C9"/>
    <w:rsid w:val="00363357"/>
    <w:rsid w:val="00390188"/>
    <w:rsid w:val="003973A2"/>
    <w:rsid w:val="003A33E2"/>
    <w:rsid w:val="003A6218"/>
    <w:rsid w:val="003B5F3A"/>
    <w:rsid w:val="003B6547"/>
    <w:rsid w:val="003B7A5E"/>
    <w:rsid w:val="003C374F"/>
    <w:rsid w:val="003C4BD1"/>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D2ED4"/>
    <w:rsid w:val="004E4CA3"/>
    <w:rsid w:val="004E7007"/>
    <w:rsid w:val="004E7E73"/>
    <w:rsid w:val="004F0B86"/>
    <w:rsid w:val="00511E06"/>
    <w:rsid w:val="0052260F"/>
    <w:rsid w:val="00524DA5"/>
    <w:rsid w:val="00526DBD"/>
    <w:rsid w:val="00543DF4"/>
    <w:rsid w:val="00544812"/>
    <w:rsid w:val="00550AA5"/>
    <w:rsid w:val="00553ADE"/>
    <w:rsid w:val="0056120D"/>
    <w:rsid w:val="0056175F"/>
    <w:rsid w:val="00577080"/>
    <w:rsid w:val="00582CCB"/>
    <w:rsid w:val="00584D73"/>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D1775"/>
    <w:rsid w:val="006D3DF1"/>
    <w:rsid w:val="006F5316"/>
    <w:rsid w:val="007071CF"/>
    <w:rsid w:val="00722FE9"/>
    <w:rsid w:val="00724F08"/>
    <w:rsid w:val="0073552A"/>
    <w:rsid w:val="007378E2"/>
    <w:rsid w:val="00742A15"/>
    <w:rsid w:val="00743EE0"/>
    <w:rsid w:val="0077694E"/>
    <w:rsid w:val="00781082"/>
    <w:rsid w:val="00781866"/>
    <w:rsid w:val="007849A1"/>
    <w:rsid w:val="00792848"/>
    <w:rsid w:val="007A1071"/>
    <w:rsid w:val="007A2D13"/>
    <w:rsid w:val="007D3257"/>
    <w:rsid w:val="007D5554"/>
    <w:rsid w:val="007E3F77"/>
    <w:rsid w:val="007F1C1D"/>
    <w:rsid w:val="007F41BF"/>
    <w:rsid w:val="007F7D80"/>
    <w:rsid w:val="00802879"/>
    <w:rsid w:val="0083186E"/>
    <w:rsid w:val="00836BC2"/>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3790"/>
    <w:rsid w:val="009943E1"/>
    <w:rsid w:val="009B22ED"/>
    <w:rsid w:val="009B2C0B"/>
    <w:rsid w:val="009C0313"/>
    <w:rsid w:val="009D07E2"/>
    <w:rsid w:val="009D49BE"/>
    <w:rsid w:val="009E0861"/>
    <w:rsid w:val="009E41F7"/>
    <w:rsid w:val="00A0224B"/>
    <w:rsid w:val="00A074E7"/>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333A"/>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6EE3"/>
    <w:rsid w:val="00BC4882"/>
    <w:rsid w:val="00BC55D2"/>
    <w:rsid w:val="00BD06FC"/>
    <w:rsid w:val="00BD4705"/>
    <w:rsid w:val="00BD5DBE"/>
    <w:rsid w:val="00BE5684"/>
    <w:rsid w:val="00BE678B"/>
    <w:rsid w:val="00BF1AC9"/>
    <w:rsid w:val="00C0033F"/>
    <w:rsid w:val="00C0131C"/>
    <w:rsid w:val="00C04AB8"/>
    <w:rsid w:val="00C153EC"/>
    <w:rsid w:val="00C155EE"/>
    <w:rsid w:val="00C30FD6"/>
    <w:rsid w:val="00C31FEE"/>
    <w:rsid w:val="00C55FFC"/>
    <w:rsid w:val="00C75CE0"/>
    <w:rsid w:val="00C920D4"/>
    <w:rsid w:val="00CA7627"/>
    <w:rsid w:val="00CC68E1"/>
    <w:rsid w:val="00CD4339"/>
    <w:rsid w:val="00CD6D0D"/>
    <w:rsid w:val="00CD7611"/>
    <w:rsid w:val="00CE3CDC"/>
    <w:rsid w:val="00CE46B3"/>
    <w:rsid w:val="00CE50F9"/>
    <w:rsid w:val="00CE7F0C"/>
    <w:rsid w:val="00CF11EE"/>
    <w:rsid w:val="00CF1B14"/>
    <w:rsid w:val="00CF432B"/>
    <w:rsid w:val="00D01247"/>
    <w:rsid w:val="00D05444"/>
    <w:rsid w:val="00D05740"/>
    <w:rsid w:val="00D11C52"/>
    <w:rsid w:val="00D13875"/>
    <w:rsid w:val="00D15D07"/>
    <w:rsid w:val="00D160F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6123"/>
    <w:rsid w:val="00E34559"/>
    <w:rsid w:val="00E41481"/>
    <w:rsid w:val="00E416F8"/>
    <w:rsid w:val="00E656C1"/>
    <w:rsid w:val="00E70B5D"/>
    <w:rsid w:val="00E750E2"/>
    <w:rsid w:val="00E80E84"/>
    <w:rsid w:val="00E82F77"/>
    <w:rsid w:val="00E83683"/>
    <w:rsid w:val="00E910F8"/>
    <w:rsid w:val="00EA7E26"/>
    <w:rsid w:val="00EB7128"/>
    <w:rsid w:val="00EE29F6"/>
    <w:rsid w:val="00F030F8"/>
    <w:rsid w:val="00F05A41"/>
    <w:rsid w:val="00F14384"/>
    <w:rsid w:val="00F17C34"/>
    <w:rsid w:val="00F359F6"/>
    <w:rsid w:val="00F44957"/>
    <w:rsid w:val="00F72D12"/>
    <w:rsid w:val="00F93684"/>
    <w:rsid w:val="00FB3044"/>
    <w:rsid w:val="00FB59D6"/>
    <w:rsid w:val="00FC16A3"/>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C74F3-342C-4A13-A488-4D613339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6479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2018-10-01T19:36:00Z</cp:lastPrinted>
  <dcterms:created xsi:type="dcterms:W3CDTF">2019-02-18T18:39:00Z</dcterms:created>
  <dcterms:modified xsi:type="dcterms:W3CDTF">2019-02-18T18:40:00Z</dcterms:modified>
</cp:coreProperties>
</file>